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ind w:left="40"/>
        <w:spacing w:before="0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ФОРМА ОБОСНОВАНИЯ НМЦ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Style w:val="855"/>
        <w:shd w:val="clear" w:color="auto" w:fil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 Общая информация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56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center"/>
              <w:spacing w:after="0" w:line="244" w:lineRule="exact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8"/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center"/>
              <w:spacing w:after="0" w:line="244" w:lineRule="exact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8"/>
                <w:rFonts w:ascii="Times New Roman" w:hAnsi="Times New Roman" w:eastAsia="Times New Roman" w:cs="Times New Roman"/>
                <w:sz w:val="24"/>
                <w:szCs w:val="24"/>
              </w:rPr>
              <w:t xml:space="preserve">Информация по лоту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88"/>
        </w:trPr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ОКПД2 42.91.20.190 Выполнение работ по ремонту сооружений золоотвала 2 очереди Биробиджанской ТЭЦ  г. Биробиджан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76"/>
        </w:trPr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left="-108" w:right="-108"/>
              <w:jc w:val="left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11033007-РЕМ ПРОД-2026-ДГК-БирТЭЦ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6"/>
        </w:trPr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left"/>
              <w:spacing w:after="0" w:line="244" w:lineRule="exact"/>
              <w:shd w:val="clear" w:color="auto" w:fill="auto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Style w:val="858"/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left"/>
              <w:spacing w:after="0" w:line="244" w:lineRule="exact"/>
              <w:shd w:val="clear" w:color="auto" w:fill="auto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Style w:val="858"/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НМЦ лота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left="-108" w:right="-108"/>
              <w:jc w:val="left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 9 116 035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,00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  <w:highlight w:val="white"/>
              </w:rPr>
              <w:t xml:space="preserve">руб. без учета НДС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40"/>
        <w:jc w:val="both"/>
        <w:spacing w:after="0" w:afterAutospacing="0" w:line="283" w:lineRule="atLeast"/>
        <w:widowControl w:val="off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есурсно-индек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сный метод.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440"/>
        <w:jc w:val="both"/>
        <w:spacing w:after="0" w:afterAutospacing="0" w:line="283" w:lineRule="atLeast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 w:bidi="ru-RU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ind w:left="440"/>
        <w:jc w:val="both"/>
        <w:spacing w:after="0" w:afterAutospacing="0" w:line="283" w:lineRule="atLeast"/>
        <w:widowControl w:val="off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Обоснование расчета НМЦ: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left="440"/>
        <w:jc w:val="both"/>
        <w:spacing w:after="0" w:afterAutospacing="0" w:line="283" w:lineRule="atLeast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-прилагаемый локальный сметный расчет (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приложение №4 к Техническим требованиям)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link w:val="66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character" w:styleId="852" w:customStyle="1">
    <w:name w:val="Основной текст (14)_"/>
    <w:basedOn w:val="681"/>
    <w:link w:val="853"/>
    <w:rPr>
      <w:rFonts w:ascii="Times New Roman" w:hAnsi="Times New Roman" w:eastAsia="Times New Roman" w:cs="Times New Roman"/>
      <w:shd w:val="clear" w:color="auto" w:fill="ffffff"/>
    </w:rPr>
  </w:style>
  <w:style w:type="paragraph" w:styleId="853" w:customStyle="1">
    <w:name w:val="Основной текст (14)"/>
    <w:basedOn w:val="671"/>
    <w:link w:val="852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54" w:customStyle="1">
    <w:name w:val="Подпись к таблице (2)_"/>
    <w:basedOn w:val="681"/>
    <w:link w:val="855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55" w:customStyle="1">
    <w:name w:val="Подпись к таблице (2)"/>
    <w:basedOn w:val="671"/>
    <w:link w:val="854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56">
    <w:name w:val="Table Grid"/>
    <w:basedOn w:val="68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7" w:customStyle="1">
    <w:name w:val="Основной текст (2)_"/>
    <w:basedOn w:val="681"/>
    <w:link w:val="859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58" w:customStyle="1">
    <w:name w:val="Основной текст (2) + 11 pt"/>
    <w:basedOn w:val="857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59" w:customStyle="1">
    <w:name w:val="Основной текст (2)"/>
    <w:basedOn w:val="671"/>
    <w:link w:val="857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nikitina_nv</cp:lastModifiedBy>
  <cp:revision>38</cp:revision>
  <dcterms:created xsi:type="dcterms:W3CDTF">2021-07-07T07:07:00Z</dcterms:created>
  <dcterms:modified xsi:type="dcterms:W3CDTF">2026-02-19T07:17:49Z</dcterms:modified>
</cp:coreProperties>
</file>